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3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135"/>
        <w:gridCol w:w="1409"/>
        <w:gridCol w:w="1936"/>
        <w:gridCol w:w="2654"/>
      </w:tblGrid>
      <w:tr>
        <w:trPr/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Школьный уровень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Муниципальный уровень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7"/>
              <w:bidi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Региональный уровень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оказания государственных услуг: лицензирования и государственной аккредитации образовательной деятельности; подтверждения документов об образовании и(или) квалификации, ученых степеней и званий (апостиль) на период действия режима повышенной готовности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(861) 251-05-44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298-26-13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298-26-09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298-26-08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(989) 198-12-92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приема в вузы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298-25-72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298-25-71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об организации образовательного процесса в школах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251-05-37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251-05-39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255-69-00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251-05-44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251-05-38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298-25-91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с целью оперативного и своевременного выявления случаев ведения образовательной деятельности без лицензии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298-26-13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298-26-08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об организации горячего питания в общеобразовательных организациях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251-05-48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298-25-97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выплаты вознаграждения за классное руководство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auto" w:val="clear"/>
              </w:rPr>
              <w:t>(861) 255-98-28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298-25-87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заработной платы в образовательных организациях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255-98-28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298-25-87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обучения и воспитания детей с ограниченными возможностями здоровья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251-04-49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298-25-62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дошкольного образования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auto" w:val="clear"/>
              </w:rPr>
              <w:t>(861) 251-05-47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auto" w:val="clear"/>
              </w:rPr>
              <w:t>(861) 251-05-48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298-25-89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информирования родителей (законных представителей) обучающихся о региональном проекте, направленном на выполнение мероприятий по модернизации школьных систем образования в Краснодарском крае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298-25-91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незаконного сбора в образовательных организациях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255-63-30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(989) 198-12-65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(989) 198-12-56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коррупции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255-63-30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298-25-77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содействия в трудоустройстве и защиты трудовых прав граждан предпенсионного возраста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298-25-78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оказания экстренной психологической помощи детям, подросткам и молодежи, оказавшимся в трудной жизненной ситуации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251-05-38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298-25-62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организации и проведения ВПР в Краснодарском крае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(861) 251-05-37</w:t>
            </w:r>
          </w:p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(861) 255-69-00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(929) 83-09-040;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проведения ОГЭ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251-05-37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251-05-39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255-69-00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(928) 424-26-58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проведения ЕГЭ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(861) 251-05-44</w:t>
            </w:r>
          </w:p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(905) 47-72-134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(918) 189-99-02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об организации образовательного процесса в колледжах и техникумах, в том числе инвалидов и лиц с ограниченными возможностями здоровья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(861) 251-05-49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298-25-67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приема в техникумы, колледжи инвалидов и лиц с ограниченными возможностями здоровья по вопросам документационной нагрузки учителей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251-05-37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251-05-44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251-05-39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(989) 198-12-56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298-26-07</w:t>
            </w:r>
          </w:p>
        </w:tc>
      </w:tr>
      <w:tr>
        <w:trPr/>
        <w:tc>
          <w:tcPr>
            <w:tcW w:w="9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по вопросам приема детей в 1-й класс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251-05-37</w:t>
            </w:r>
          </w:p>
          <w:p>
            <w:pPr>
              <w:pStyle w:val="Normal"/>
              <w:widowControl w:val="false"/>
              <w:suppressAutoHyphens w:val="true"/>
              <w:bidi w:val="0"/>
              <w:ind w:hanging="0"/>
              <w:jc w:val="both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251-05-39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hanging="0"/>
              <w:jc w:val="left"/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fill="FFFFFF" w:val="clear"/>
              </w:rPr>
              <w:t>(861) 298-25-91</w:t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567" w:gutter="0" w:header="1134" w:top="2383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uppressAutoHyphens w:val="true"/>
      <w:bidi w:val="0"/>
      <w:ind w:firstLine="709"/>
      <w:jc w:val="right"/>
      <w:rPr>
        <w:rFonts w:ascii="Times New Roman" w:hAnsi="Times New Roman"/>
        <w:b w:val="false"/>
        <w:bCs w:val="false"/>
        <w:sz w:val="28"/>
        <w:szCs w:val="28"/>
        <w:shd w:fill="FFFFFF" w:val="clear"/>
      </w:rPr>
    </w:pPr>
    <w:r>
      <w:rPr>
        <w:rFonts w:ascii="Times New Roman" w:hAnsi="Times New Roman"/>
        <w:b w:val="false"/>
        <w:bCs w:val="false"/>
        <w:sz w:val="28"/>
        <w:szCs w:val="28"/>
        <w:shd w:fill="FFFFFF" w:val="clear"/>
      </w:rPr>
      <w:t>Приложение</w:t>
    </w:r>
  </w:p>
  <w:p>
    <w:pPr>
      <w:pStyle w:val="Normal"/>
      <w:widowControl w:val="false"/>
      <w:suppressAutoHyphens w:val="true"/>
      <w:bidi w:val="0"/>
      <w:ind w:firstLine="709"/>
      <w:jc w:val="center"/>
      <w:rPr>
        <w:sz w:val="28"/>
        <w:szCs w:val="28"/>
        <w:shd w:fill="FFFFFF" w:val="clear"/>
      </w:rPr>
    </w:pPr>
    <w:r>
      <w:rPr>
        <w:sz w:val="28"/>
        <w:szCs w:val="28"/>
        <w:shd w:fill="FFFFFF" w:val="clear"/>
      </w:rPr>
    </w:r>
  </w:p>
  <w:p>
    <w:pPr>
      <w:pStyle w:val="Normal"/>
      <w:widowControl w:val="false"/>
      <w:suppressAutoHyphens w:val="true"/>
      <w:bidi w:val="0"/>
      <w:ind w:firstLine="709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  <w:sz w:val="28"/>
        <w:szCs w:val="28"/>
        <w:shd w:fill="FFFFFF" w:val="clear"/>
      </w:rPr>
      <w:t>Перечень «горячих» линий в сфере образования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236</TotalTime>
  <Application>LibreOffice/7.6.7.2$Linux_X86_64 LibreOffice_project/60$Build-2</Application>
  <AppVersion>15.0000</AppVersion>
  <Pages>2</Pages>
  <Words>338</Words>
  <Characters>2376</Characters>
  <CharactersWithSpaces>2624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2025-04-11T13:03:11Z</dcterms:created>
  <dc:creator/>
  <dc:description/>
  <dc:language>ru-RU</dc:language>
  <cp:lastModifiedBy/>
  <cp:lastPrinted>2025-04-11T17:20:40Z</cp:lastPrinted>
  <dcterms:modified xsi:type="dcterms:W3CDTF">2025-04-11T17:21:07Z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